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PERATURAN PEMERINTAH REPUBLIK INDONESIA</w:t>
      </w: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NOMOR 55 TAHUN 2009</w:t>
      </w:r>
    </w:p>
    <w:p w:rsidR="00B95C93" w:rsidRPr="005855D4" w:rsidRDefault="00B95C93" w:rsidP="004A7DC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TENTANG</w:t>
      </w:r>
    </w:p>
    <w:p w:rsidR="00745529" w:rsidRDefault="00B95C93" w:rsidP="004A7DC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 xml:space="preserve">PERUBAHAN KEDUA ATAS PERATURAN PEMERINTAH NOMOR 35 </w:t>
      </w:r>
    </w:p>
    <w:p w:rsidR="00B95C93" w:rsidRPr="005855D4" w:rsidRDefault="00B95C93" w:rsidP="00745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TAHUN</w:t>
      </w:r>
      <w:r w:rsidR="00745529">
        <w:rPr>
          <w:rFonts w:ascii="Arial" w:hAnsi="Arial" w:cs="Arial"/>
          <w:b/>
        </w:rPr>
        <w:t xml:space="preserve"> </w:t>
      </w:r>
      <w:r w:rsidRPr="005855D4">
        <w:rPr>
          <w:rFonts w:ascii="Arial" w:hAnsi="Arial" w:cs="Arial"/>
          <w:b/>
        </w:rPr>
        <w:t>2004 TENTANG KEGIATAN USAHA HULU MINYAK DAN GAS BUMI</w:t>
      </w:r>
    </w:p>
    <w:p w:rsidR="004A7DCE" w:rsidRPr="005855D4" w:rsidRDefault="004A7DCE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DENGAN RAHMAT TUHAN YANG MAHA ESA</w:t>
      </w:r>
    </w:p>
    <w:p w:rsidR="004A7DCE" w:rsidRPr="005855D4" w:rsidRDefault="004A7DCE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PRESIDEN REPUBLIK INDONESIA,</w:t>
      </w:r>
    </w:p>
    <w:p w:rsidR="004A7DCE" w:rsidRPr="005855D4" w:rsidRDefault="004A7DC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4A7DCE" w:rsidP="004A7DC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Menimbang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 xml:space="preserve">: a. 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bahwa dengan adanya putusan Mahkamah Konstitusi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Nomor perkara 002/PUU-I/2003 tentang Permohonan Uji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Formil dan Materiil terhadap Pasal 12 ayat (3) dan Pasal 22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ayat (1) Undang-Undang Nomor 22 Tahun 2001 tentang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Minyak dan Gas Bumi, perlu melakukan penyesuaian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terhadap Peraturan Pemerintah Nomor 35 Tahun 2004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tentang Kegiatan Usaha Hulu Minyak dan Gas Bumi yang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merupakan peraturan pelaksanaan dari Undang-Undang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Nomor 22 Tahun 2001 tentang Minyak dan Gas Bumi;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b.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bahwa berdasarkan pertimbangan sebagaimana dimaksud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dalam huruf a dan dalam rangka penataan kembali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kewajiban Kontraktor untuk memenuhi kebutuhan minyak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bumi dan/atau gas bumi dalam negeri, perlu menetapkan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Peraturan Pemerintah tentang Perubahan Kedua Atas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Peraturan Pemerintah Nomor 35 Tahun 2004 tentang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Kegiatan Usaha Hulu Minyak dan Gas Bumi;</w:t>
      </w:r>
    </w:p>
    <w:p w:rsidR="004A7DCE" w:rsidRPr="005855D4" w:rsidRDefault="004A7DC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4A7DCE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Mengingat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 xml:space="preserve">: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 xml:space="preserve">1.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Pasal 5 ayat (2) Undang-Undang Dasar Negara Republik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Indonesia Tahun 1945;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2.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Undang-Undang Nomor 22 Tahun 2001 tentang Minyak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dan Gas Bumi (Lembaran Negara Republik Indonesia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Tahun 2001 Nomor 136, Tambahan Lembaran Negara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Republik Indonesia Nomor 4152);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3.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Peraturan Pemerintah Nomor 35 Tahun 2004 tentang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Kegiatan Usaha Hulu Minyak dan Gas Bumi (Lembaran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Negara Republik Indonesia Tahun 2004 Nomor 123,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Tambahan Lembaran Negara Republik Indonesia Nomor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4435) sebagaimana telah diubah dengan Peraturan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Pemerintah Nomor 34 Tahun 2005 (Lembaran Negara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Republik Indonesia Tahun 2005 Nomor 81, Tambahan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Lembaran Negara Republik Indonesia Nomor 4530);</w:t>
      </w:r>
    </w:p>
    <w:p w:rsidR="004A7DCE" w:rsidRPr="005855D4" w:rsidRDefault="004A7DCE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MEMUTUSKAN:</w:t>
      </w:r>
    </w:p>
    <w:p w:rsidR="004A7DCE" w:rsidRPr="005855D4" w:rsidRDefault="004A7DC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4A7DCE" w:rsidP="004A7DCE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Menetapkan</w:t>
      </w:r>
      <w:r w:rsidRPr="005855D4">
        <w:rPr>
          <w:rFonts w:ascii="Arial" w:hAnsi="Arial" w:cs="Arial"/>
        </w:rPr>
        <w:tab/>
        <w:t>: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PERATURAN PEMERINTAH TENTANG PERUBAHAN KEDUA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ATAS PERATURAN PEMERINTAH NOMOR 35 TAHUN 2004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TENTANG KEGIATAN USAHA HULU MINYAK DAN GAS BUMI.</w:t>
      </w:r>
    </w:p>
    <w:p w:rsidR="004A7DCE" w:rsidRPr="005855D4" w:rsidRDefault="004A7DCE" w:rsidP="00F5520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Pasal I</w:t>
      </w:r>
    </w:p>
    <w:p w:rsidR="00B95C93" w:rsidRPr="005855D4" w:rsidRDefault="00B95C93" w:rsidP="004A7D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Beberapa ketentuan dalam Peraturan Pemerintah Nomor 35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Tahun 2004 tentang Kegiatan Usaha Hulu Minyak dan Gas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Bumi (Lembaran Negara Republik Indonesia Tahun 2004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Nomor 123, Tambahan Lembaran Negara Republik Indonesia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Nomor 4435) sebagaimana telah diubah dengan Peraturan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Pemerintah Nomor 34 Tahun 2005 (Lembaran Negara Republik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Indonesia Tahun 2005 Nomor 81, Tambahan Lembaran Negara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Republik Indonesia Nomor 4530), diubah sebagai berikut:</w:t>
      </w:r>
    </w:p>
    <w:p w:rsidR="004A7DCE" w:rsidRPr="005855D4" w:rsidRDefault="004A7DCE" w:rsidP="004A7DC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lastRenderedPageBreak/>
        <w:t xml:space="preserve">1.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Ketentuan Pasal 1 angka 6 diubah sehingga Pasal 1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berbunyi sebagai berikut:</w:t>
      </w:r>
    </w:p>
    <w:p w:rsidR="004A7DCE" w:rsidRPr="005855D4" w:rsidRDefault="004A7DC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Pasal 1</w:t>
      </w:r>
    </w:p>
    <w:p w:rsidR="00B95C93" w:rsidRPr="005855D4" w:rsidRDefault="00B95C93" w:rsidP="004A7DCE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Dalam Peraturan Pemerintah ini yang dimaksud dengan: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1. Minyak Bumi, Gas Bumi, Minyak dan Gas Bumi,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Kuasa Pertambangan, Survey Umum, Kegiatan Usaha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Hulu, Eksplorasi, Eksploitasi, Wilayah Hukum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Pertambangan Indonesia, Wilayah Kerja, Badan Usaha,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Bentuk Usaha Tetap, Kontrak Kerja Sama, Pemerintah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Pusat selanjutnya disebut Pemerintah, Pemerintah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Daerah, Badan Pelaksana, Menteri adalah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sebagaimana dimaksud dalam Undang-Undang Nomor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22 Tahun 2001 tentang Minyak dan Gas Bumi.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2.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Gas Metana Batubara (</w:t>
      </w:r>
      <w:r w:rsidRPr="005855D4">
        <w:rPr>
          <w:rFonts w:ascii="Arial" w:hAnsi="Arial" w:cs="Arial"/>
          <w:i/>
          <w:iCs/>
        </w:rPr>
        <w:t>Coalbed Methane</w:t>
      </w:r>
      <w:r w:rsidRPr="005855D4">
        <w:rPr>
          <w:rFonts w:ascii="Arial" w:hAnsi="Arial" w:cs="Arial"/>
        </w:rPr>
        <w:t>) adalah gas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bumi (hidrokarbon) dimana gas metana merupakan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komponen utamanya yang terjadi secara alamiah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dalam proses pembentukan batubara (</w:t>
      </w:r>
      <w:r w:rsidRPr="005855D4">
        <w:rPr>
          <w:rFonts w:ascii="Arial" w:hAnsi="Arial" w:cs="Arial"/>
          <w:i/>
          <w:iCs/>
        </w:rPr>
        <w:t>coalification</w:t>
      </w:r>
      <w:r w:rsidRPr="005855D4">
        <w:rPr>
          <w:rFonts w:ascii="Arial" w:hAnsi="Arial" w:cs="Arial"/>
        </w:rPr>
        <w:t>)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dalam kondisi terperangkap dan terserap (terabsorbsi)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di dalam batubara dan/atau lapisan batubara.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 xml:space="preserve">3.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Wilayah Terbuka adalah bagian dari Wilayah Hukum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Pertambangan Indonesia yang belum ditetapkan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sebagai Wilayah Kerja.</w:t>
      </w:r>
      <w:proofErr w:type="gramEnd"/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 xml:space="preserve">4.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Kontrak Bagi Hasil adalah suatu bentuk Kontrak Kerja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Sama dalam Kegiatan Usaha Hulu berdasarkan prinsip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pembagian hasil produksi.</w:t>
      </w:r>
      <w:proofErr w:type="gramEnd"/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5. Kontrak Jasa adalah suatu bentuk Kontrak Kerja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Sama untuk pelaksanaan Eksploitasi Minyak dan Gas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Bumi berdasarkan prinsip pemberian imbalan jasa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atas produksi yang dihasilkan.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6.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Kontraktor adalah Badan Usaha atau Bentuk Usaha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Tetap yang ditetapkan untuk melakukan Eksplorasi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dan Eksploitasi pada suatu Wilayah Kerja berdasarkan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Kontrak Kerja Sama dengan Badan Pelaksana.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7.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Data adalah semua fakta, petunjuk, indikasi, dan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informasi baik dalam bentuk tulisan (karakter), angka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(digital), gambar (analog), media magnetik, dokumen,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perconto batuan, fluida, dan bentuk lain yang didapat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dari hasil Survey Umum, Eksplorasi dan Eksploitasi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Minyak dan Gas Bumi.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8.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Departemen adalah departemen yang tugas dan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kewenangannya meliputi kegiatan usaha Minyak dan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Gas Bumi.</w:t>
      </w:r>
    </w:p>
    <w:p w:rsidR="00B95C93" w:rsidRPr="005855D4" w:rsidRDefault="00B95C93" w:rsidP="00F55201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9.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Pertamina adalah perusahaan Pertambangan Minyak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dan Gas Bumi Negara yang dibentuk berdasarkan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Undang-Undang Nomor 8 Tahun 1971 tentang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Perusahaan Pertambangan Minyak dan Gas Bumi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Negara juncto Undang-Undang Nomor 22 Tahun 2001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tentang Minyak dan Gas Bumi.</w:t>
      </w:r>
    </w:p>
    <w:p w:rsidR="00B95C93" w:rsidRPr="005855D4" w:rsidRDefault="004A7DCE" w:rsidP="00F55201">
      <w:pPr>
        <w:autoSpaceDE w:val="0"/>
        <w:autoSpaceDN w:val="0"/>
        <w:adjustRightInd w:val="0"/>
        <w:spacing w:before="80" w:after="0" w:line="240" w:lineRule="auto"/>
        <w:ind w:left="720" w:hanging="423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10.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PT Pertamina (Persero) adalah Perusahaan perseroan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(Persero) yang dibentuk berdasarkan Peraturan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Pemerintah Nomor 31 Tahun 2003 tentang Pengalihan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Bentuk Perusahaan Pertambangan Minyak dan Gas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Bumi Negara (PERTAMINA) menjadi Perusahaan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Perseroan (Persero).</w:t>
      </w:r>
    </w:p>
    <w:p w:rsidR="00F55201" w:rsidRPr="005855D4" w:rsidRDefault="00F55201" w:rsidP="00F55201">
      <w:pPr>
        <w:autoSpaceDE w:val="0"/>
        <w:autoSpaceDN w:val="0"/>
        <w:adjustRightInd w:val="0"/>
        <w:spacing w:after="0" w:line="240" w:lineRule="auto"/>
        <w:ind w:left="720" w:hanging="423"/>
        <w:jc w:val="both"/>
        <w:rPr>
          <w:rFonts w:ascii="Arial" w:hAnsi="Arial" w:cs="Arial"/>
        </w:rPr>
      </w:pP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 xml:space="preserve">2. </w:t>
      </w:r>
      <w:r w:rsidR="004A7DCE" w:rsidRPr="005855D4">
        <w:rPr>
          <w:rFonts w:ascii="Arial" w:hAnsi="Arial" w:cs="Arial"/>
        </w:rPr>
        <w:tab/>
      </w:r>
      <w:r w:rsidRPr="005855D4">
        <w:rPr>
          <w:rFonts w:ascii="Arial" w:hAnsi="Arial" w:cs="Arial"/>
        </w:rPr>
        <w:t>Ketentuan Pasal 6 ayat (1) diubah, sehingga Pasal 6</w:t>
      </w:r>
      <w:r w:rsidR="004A7DC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berbunyi sebagai berikut:</w:t>
      </w:r>
    </w:p>
    <w:p w:rsidR="0005273B" w:rsidRPr="005855D4" w:rsidRDefault="0005273B" w:rsidP="00052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95C93" w:rsidRPr="005855D4" w:rsidRDefault="00B95C93" w:rsidP="000527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Pasal 6</w:t>
      </w:r>
    </w:p>
    <w:p w:rsidR="00FC4895" w:rsidRPr="005855D4" w:rsidRDefault="00B95C93" w:rsidP="00FC48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Menteri menetapkan Badan Usaha atau Bentuk Usaha</w:t>
      </w:r>
      <w:r w:rsidR="0005273B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Tetap sebagai Kontraktor untuk melakukan Eksplorasi</w:t>
      </w:r>
      <w:r w:rsidR="0005273B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dan Eksploitasi pada Wilayah Kerja tertentu.</w:t>
      </w:r>
    </w:p>
    <w:p w:rsidR="00FC4895" w:rsidRPr="005855D4" w:rsidRDefault="00B95C93" w:rsidP="00FC48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Dalam pelaksanaan penetapan Badan Usaha atauBentuk Usaha Tetap sebagaimana dimaksud dalam</w:t>
      </w:r>
      <w:r w:rsidR="00FC4895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ayat (1), Menteri melakukan koordinasi dengan Badan</w:t>
      </w:r>
      <w:r w:rsidR="00FC4895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Pelaksana.</w:t>
      </w:r>
    </w:p>
    <w:p w:rsidR="00B95C93" w:rsidRPr="005855D4" w:rsidRDefault="00B95C93" w:rsidP="00FC48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Untuk setiap Badan Usaha atau Bentuk Usaha Tetap</w:t>
      </w:r>
      <w:r w:rsidR="00FC4895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sebagaimana dimaksud dalam ayat (1), hanya</w:t>
      </w:r>
      <w:r w:rsidR="00FC4895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diberikan satu Wilayah Kerja.</w:t>
      </w:r>
    </w:p>
    <w:p w:rsidR="00FC4895" w:rsidRPr="005855D4" w:rsidRDefault="00FC4895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FC4895" w:rsidP="00FC489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3.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Ketentuan Pasal 46 ayat (1) dan ayat (3) diubah serta ayat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(2) dan ayat (4) dihapus, sehingga Pasal 46 berbunyi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sebagai berikut:</w:t>
      </w:r>
    </w:p>
    <w:p w:rsidR="00FC4895" w:rsidRPr="005855D4" w:rsidRDefault="00FC4895" w:rsidP="00FC4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95C93" w:rsidRPr="005855D4" w:rsidRDefault="00B95C93" w:rsidP="00FC4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Pasal 46</w:t>
      </w:r>
    </w:p>
    <w:p w:rsidR="00B95C93" w:rsidRPr="005855D4" w:rsidRDefault="00FC4895" w:rsidP="00FC489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(1)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Kontraktor wajib ikut memenuhi kebutuhan Minyak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Bumi dan/atau Gas Bumi dalam negeri.</w:t>
      </w:r>
    </w:p>
    <w:p w:rsidR="00B95C93" w:rsidRPr="005855D4" w:rsidRDefault="00FC4895" w:rsidP="00FC4895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(2)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Dihapus.</w:t>
      </w:r>
    </w:p>
    <w:p w:rsidR="00B95C93" w:rsidRPr="005855D4" w:rsidRDefault="00FC4895" w:rsidP="00FC4895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(3)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Kewajiban Kontraktor untuk ikut memenuhi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kebutuhan sebagaimana dimaksud pada ayat (1)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dilakukan dengan menyerahkan sebesar 25% (dua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puluh lima perseratus) dari hasil produksi Minyak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Bumi dan/atau Gas Bumi bagian Kontraktor.</w:t>
      </w:r>
    </w:p>
    <w:p w:rsidR="00B95C93" w:rsidRPr="005855D4" w:rsidRDefault="00B95C93" w:rsidP="00FC4895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(4) Dihapus.</w:t>
      </w:r>
    </w:p>
    <w:p w:rsidR="00FC4895" w:rsidRPr="005855D4" w:rsidRDefault="00FC4895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FC4895" w:rsidP="00FC4895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4.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Ketentuan Pasal 48 ayat (2) dan ayat (3) diubah serta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ditambahkan 2 (dua) ayat baru yaitu ayat (4) dan ayat (5),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sehingga Pasal 48 berbunyi sebagai berikut:</w:t>
      </w:r>
    </w:p>
    <w:p w:rsidR="00FC4895" w:rsidRPr="005855D4" w:rsidRDefault="00FC4895" w:rsidP="00FC4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95C93" w:rsidRPr="005855D4" w:rsidRDefault="00B95C93" w:rsidP="00FC48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Pasal 48</w:t>
      </w:r>
    </w:p>
    <w:p w:rsidR="00B95C93" w:rsidRPr="005855D4" w:rsidRDefault="00FC4895" w:rsidP="00FC4895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(1)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Terhadap cadangan Gas Bumi yang baru ditemukan,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Kontraktor wajib menyampaikan laporan terlebih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dahulu kepada Menteri untuk memenuhi kebutuhan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dalam negeri sebagaimana dimaksud dalam Pasal 46.</w:t>
      </w:r>
    </w:p>
    <w:p w:rsidR="00B95C93" w:rsidRPr="005855D4" w:rsidRDefault="00FC4895" w:rsidP="005855D4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(2)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Dalam hal cadangan Gas Bumi sebagaimana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dimaksud pada ayat (1) akan diproduksikan, Menteri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terlebih dahulu memberikan kesempatan kepada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konsumen di dalam negeri untuk menyampaikan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kebutuhan Gas Buminya secara tertulis dalam jangka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waktu paling lama 1 (satu) tahun sejak cadangan Gas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Bumi yang baru ditemukan.</w:t>
      </w:r>
    </w:p>
    <w:p w:rsidR="00B95C93" w:rsidRPr="005855D4" w:rsidRDefault="00FC4895" w:rsidP="005855D4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(3)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Dalam jangka waktu paling lama 3 (tiga) bulan sejak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berakhirnya batas waktu 1 (satu) tahun pemberian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kesempatan kepada konsumen di dalam negeri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sebagaimana dimaksud pada ayat (2), Menteri harus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menyampaikan pemberitahuan kepada Kontraktor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mengenai kondisi kebutuhan di dalam negeri.</w:t>
      </w:r>
    </w:p>
    <w:p w:rsidR="00C33AAE" w:rsidRPr="005855D4" w:rsidRDefault="00FC4895" w:rsidP="005855D4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(4)</w:t>
      </w:r>
      <w:r w:rsidR="00C33AAE"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Dalam hal Menteri menyampaikan adanya kebutuhan</w:t>
      </w:r>
      <w:r w:rsidR="00C33AAE"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Gas Bumi dalam negeri sebagaimana dimaksud pada</w:t>
      </w:r>
      <w:r w:rsidR="00C33AAE"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ayat (3), Kontraktor wajib mulai melakukan negosiasi</w:t>
      </w:r>
      <w:r w:rsidR="00C33AAE"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dengan konsumen dalam negeri dengan</w:t>
      </w:r>
      <w:r w:rsidR="00C33AAE"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memperhatikan keekonomian pengembangan</w:t>
      </w:r>
      <w:r w:rsidR="00C33AAE"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lapangan Gas Bumi.</w:t>
      </w:r>
    </w:p>
    <w:p w:rsidR="00B95C93" w:rsidRPr="005855D4" w:rsidRDefault="00C33AAE" w:rsidP="005855D4">
      <w:pPr>
        <w:autoSpaceDE w:val="0"/>
        <w:autoSpaceDN w:val="0"/>
        <w:adjustRightInd w:val="0"/>
        <w:spacing w:before="80"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(5)</w:t>
      </w:r>
      <w:r w:rsidRPr="005855D4">
        <w:rPr>
          <w:rFonts w:ascii="Arial" w:hAnsi="Arial" w:cs="Arial"/>
        </w:rPr>
        <w:tab/>
      </w:r>
      <w:r w:rsidR="00B95C93" w:rsidRPr="005855D4">
        <w:rPr>
          <w:rFonts w:ascii="Arial" w:hAnsi="Arial" w:cs="Arial"/>
        </w:rPr>
        <w:t>Dalam hal Menteri menyampaikan tidak adanya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kebutuhan Gas Bumi dalam negeri dalam jangka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waktu sebagaimana dimaksud pada ayat (3) atau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antara Kontraktor dan konsumen dalam negeri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sebagaimana dimaksud pada ayat (4) tidak mencapai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kesepakatan, maka Kontraktor dapat menjual Gas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Bumi kepada pasar internasional setelah mendapat</w:t>
      </w:r>
      <w:r w:rsidRPr="005855D4">
        <w:rPr>
          <w:rFonts w:ascii="Arial" w:hAnsi="Arial" w:cs="Arial"/>
        </w:rPr>
        <w:t xml:space="preserve"> </w:t>
      </w:r>
      <w:r w:rsidR="00B95C93" w:rsidRPr="005855D4">
        <w:rPr>
          <w:rFonts w:ascii="Arial" w:hAnsi="Arial" w:cs="Arial"/>
        </w:rPr>
        <w:t>persetujuan Menteri.</w:t>
      </w:r>
    </w:p>
    <w:p w:rsidR="00C33AAE" w:rsidRPr="005855D4" w:rsidRDefault="00C33AAE" w:rsidP="00C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Pasal II</w:t>
      </w:r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Peraturan Pemerintah ini mulai berlaku pada tanggal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diundangkan.</w:t>
      </w:r>
      <w:proofErr w:type="gramEnd"/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Agar setiap orang mengetahuinya, memerintahkan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pengundangan Peraturan Pemerintah ini dengan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penempatannya dalam Lembaran Negara Republik Indonesia.</w:t>
      </w:r>
      <w:proofErr w:type="gramEnd"/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3AAE" w:rsidRDefault="00C33AAE" w:rsidP="00C33AAE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</w:p>
    <w:p w:rsidR="005855D4" w:rsidRDefault="005855D4" w:rsidP="00C33AAE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</w:p>
    <w:p w:rsidR="005855D4" w:rsidRDefault="005855D4" w:rsidP="00C33AAE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</w:p>
    <w:p w:rsidR="005855D4" w:rsidRPr="005855D4" w:rsidRDefault="005855D4" w:rsidP="00C33AAE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lastRenderedPageBreak/>
        <w:t>Ditetapkan di Jakarta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pada</w:t>
      </w:r>
      <w:proofErr w:type="gramEnd"/>
      <w:r w:rsidRPr="005855D4">
        <w:rPr>
          <w:rFonts w:ascii="Arial" w:hAnsi="Arial" w:cs="Arial"/>
        </w:rPr>
        <w:t xml:space="preserve"> tanggal 1 September 2009</w:t>
      </w:r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ind w:left="4680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PRESIDEN REPUBLIK INDONESIA</w:t>
      </w:r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ind w:left="4680"/>
        <w:jc w:val="center"/>
        <w:rPr>
          <w:rFonts w:ascii="Arial" w:hAnsi="Arial" w:cs="Arial"/>
          <w:b/>
        </w:rPr>
      </w:pPr>
      <w:proofErr w:type="gramStart"/>
      <w:r w:rsidRPr="005855D4">
        <w:rPr>
          <w:rFonts w:ascii="Arial" w:hAnsi="Arial" w:cs="Arial"/>
          <w:b/>
        </w:rPr>
        <w:t>ttd</w:t>
      </w:r>
      <w:proofErr w:type="gramEnd"/>
      <w:r w:rsidRPr="005855D4">
        <w:rPr>
          <w:rFonts w:ascii="Arial" w:hAnsi="Arial" w:cs="Arial"/>
          <w:b/>
        </w:rPr>
        <w:t>.</w:t>
      </w:r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ind w:left="4680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DR. H. SUSILO BAMBANG YUDHOYONO</w:t>
      </w:r>
    </w:p>
    <w:p w:rsidR="005855D4" w:rsidRP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Diundangkan di Jakarta</w:t>
      </w:r>
    </w:p>
    <w:p w:rsidR="00B95C93" w:rsidRPr="005855D4" w:rsidRDefault="00B95C93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pada</w:t>
      </w:r>
      <w:proofErr w:type="gramEnd"/>
      <w:r w:rsidRPr="005855D4">
        <w:rPr>
          <w:rFonts w:ascii="Arial" w:hAnsi="Arial" w:cs="Arial"/>
        </w:rPr>
        <w:t xml:space="preserve"> tanggal 1 September 2009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ind w:right="3960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MENTERI HUKUM DAN HAK ASASI MANUSIA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ind w:right="3960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REPUBLIK INDONESIA,</w:t>
      </w:r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ind w:right="3960"/>
        <w:jc w:val="center"/>
        <w:rPr>
          <w:rFonts w:ascii="Arial" w:hAnsi="Arial" w:cs="Arial"/>
          <w:b/>
        </w:rPr>
      </w:pPr>
      <w:proofErr w:type="gramStart"/>
      <w:r w:rsidRPr="005855D4">
        <w:rPr>
          <w:rFonts w:ascii="Arial" w:hAnsi="Arial" w:cs="Arial"/>
          <w:b/>
        </w:rPr>
        <w:t>ttd</w:t>
      </w:r>
      <w:proofErr w:type="gramEnd"/>
      <w:r w:rsidRPr="005855D4">
        <w:rPr>
          <w:rFonts w:ascii="Arial" w:hAnsi="Arial" w:cs="Arial"/>
          <w:b/>
        </w:rPr>
        <w:t>.</w:t>
      </w:r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ind w:right="3960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ANDI MATTALATTA</w:t>
      </w: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855D4">
        <w:rPr>
          <w:rFonts w:ascii="Arial" w:hAnsi="Arial" w:cs="Arial"/>
        </w:rPr>
        <w:t>LEMBARAN NEGARA REPUBLIK INDONESIA TAHUN 2009 NOMOR 128</w:t>
      </w: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ind w:right="4320"/>
        <w:jc w:val="center"/>
        <w:rPr>
          <w:rFonts w:ascii="Arial" w:hAnsi="Arial" w:cs="Arial"/>
        </w:rPr>
      </w:pPr>
      <w:r w:rsidRPr="005855D4">
        <w:rPr>
          <w:rFonts w:ascii="Arial" w:hAnsi="Arial" w:cs="Arial"/>
        </w:rPr>
        <w:t>Salinan sesuai dengan aslinya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ind w:right="4320"/>
        <w:jc w:val="center"/>
        <w:rPr>
          <w:rFonts w:ascii="Arial" w:hAnsi="Arial" w:cs="Arial"/>
        </w:rPr>
      </w:pPr>
      <w:r w:rsidRPr="005855D4">
        <w:rPr>
          <w:rFonts w:ascii="Arial" w:hAnsi="Arial" w:cs="Arial"/>
        </w:rPr>
        <w:t>SEKRETARIAT NEGARA RI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ind w:right="4320"/>
        <w:jc w:val="center"/>
        <w:rPr>
          <w:rFonts w:ascii="Arial" w:hAnsi="Arial" w:cs="Arial"/>
        </w:rPr>
      </w:pPr>
      <w:r w:rsidRPr="005855D4">
        <w:rPr>
          <w:rFonts w:ascii="Arial" w:hAnsi="Arial" w:cs="Arial"/>
        </w:rPr>
        <w:t>Kepala Biro Peraturan Perundang-undangan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ind w:right="4320"/>
        <w:jc w:val="center"/>
        <w:rPr>
          <w:rFonts w:ascii="Arial" w:hAnsi="Arial" w:cs="Arial"/>
        </w:rPr>
      </w:pPr>
      <w:r w:rsidRPr="005855D4">
        <w:rPr>
          <w:rFonts w:ascii="Arial" w:hAnsi="Arial" w:cs="Arial"/>
        </w:rPr>
        <w:t>Bidang Perekonomian dan Industri,</w:t>
      </w:r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ind w:right="4320"/>
        <w:jc w:val="center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ttd</w:t>
      </w:r>
      <w:proofErr w:type="gramEnd"/>
      <w:r w:rsidRPr="005855D4">
        <w:rPr>
          <w:rFonts w:ascii="Arial" w:hAnsi="Arial" w:cs="Arial"/>
        </w:rPr>
        <w:t>.</w:t>
      </w:r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ind w:right="4320"/>
        <w:jc w:val="center"/>
        <w:rPr>
          <w:rFonts w:ascii="Arial" w:hAnsi="Arial" w:cs="Arial"/>
        </w:rPr>
      </w:pPr>
      <w:r w:rsidRPr="005855D4">
        <w:rPr>
          <w:rFonts w:ascii="Arial" w:hAnsi="Arial" w:cs="Arial"/>
        </w:rPr>
        <w:t>Setio Sapto Nugroho</w:t>
      </w: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3AAE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855D4" w:rsidRPr="005855D4" w:rsidRDefault="005855D4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lastRenderedPageBreak/>
        <w:t>PENJELASAN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ATAS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PERATURAN PEMERINTAH REPUBLIK INDONESIA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NOMOR 55 TAHUN 2009</w:t>
      </w:r>
    </w:p>
    <w:p w:rsidR="00B95C93" w:rsidRPr="005855D4" w:rsidRDefault="00B95C93" w:rsidP="00CB5D4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TENTANG</w:t>
      </w:r>
    </w:p>
    <w:p w:rsidR="00B95C93" w:rsidRPr="005855D4" w:rsidRDefault="00B95C93" w:rsidP="00CB5D4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PERUBAHAN KEDUA ATAS PERATURAN PEMERINTAH NOMOR 35 TAHUN</w:t>
      </w: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>2004 TENTANG KEGIATAN USAHA HULU MINYAK DAN GAS BUMI</w:t>
      </w:r>
    </w:p>
    <w:p w:rsidR="00C33AAE" w:rsidRPr="005855D4" w:rsidRDefault="00C33AAE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C33AAE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 xml:space="preserve">I. </w:t>
      </w:r>
      <w:r w:rsidR="00C33AAE" w:rsidRPr="005855D4">
        <w:rPr>
          <w:rFonts w:ascii="Arial" w:hAnsi="Arial" w:cs="Arial"/>
          <w:b/>
        </w:rPr>
        <w:tab/>
      </w:r>
      <w:r w:rsidRPr="005855D4">
        <w:rPr>
          <w:rFonts w:ascii="Arial" w:hAnsi="Arial" w:cs="Arial"/>
          <w:b/>
        </w:rPr>
        <w:t>UMUM</w:t>
      </w:r>
    </w:p>
    <w:p w:rsidR="00B95C93" w:rsidRPr="005855D4" w:rsidRDefault="00B95C93" w:rsidP="00C33AAE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Sejalan dengan putusan Mahkamah Konstitusi Nomor perkara 002/PUUI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/2003 tanggal 21 Desember 2004 atas permohonan pengujian formil dan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materiil terhadap Undang-Undang Nomor 22 Tahun 2001 tentang Minyak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dan Gas Bumi, mengakibatkan beberapa ketentuan dalam Undang-Undang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Nomor 22 Tahun 2001 khususnya frasa “diberi wewenang” dalam Pasal 12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ayat (3) dan frasa “paling banyak” dalam Pasal 22 ayat (1) dinyatakan tidak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mempunyai kekuatan hukum mengikat, dan dalam rangka penataan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kembali kewajiban Kontraktor untuk memenuhi kebutuhan Minyak Bumi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dan/atau Gas Bumi dalam negeri, harus dilakukan perubahan atas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ketentuan Pasal 1, Pasal 6, Pasal 46, dan Pasal 48 Peraturan Pemerintah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Nomor 35 Tahun 2004 tentang Kegiatan Usaha Hulu Minyak dan Gas Bumi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sebagaimana telah diubah dengan Peraturan Pemerintah Nomor 34 Tahun</w:t>
      </w:r>
      <w:r w:rsidR="00C33AAE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2005.</w:t>
      </w:r>
    </w:p>
    <w:p w:rsidR="00B95C93" w:rsidRPr="005855D4" w:rsidRDefault="00B95C93" w:rsidP="00C07BF9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Berdasarkan hal tersebut, perlu menetapkan Peraturan Pemerintah tentang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Perubahan Kedua Atas Peraturan Pemerintah Nomor 35 Tahun 2004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tentang Kegiatan Usaha Hulu Minyak dan Gas Bumi.</w:t>
      </w:r>
    </w:p>
    <w:p w:rsidR="00C07BF9" w:rsidRPr="005855D4" w:rsidRDefault="00C07BF9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5855D4">
        <w:rPr>
          <w:rFonts w:ascii="Arial" w:hAnsi="Arial" w:cs="Arial"/>
          <w:b/>
        </w:rPr>
        <w:t xml:space="preserve">II. </w:t>
      </w:r>
      <w:r w:rsidR="005855D4">
        <w:rPr>
          <w:rFonts w:ascii="Arial" w:hAnsi="Arial" w:cs="Arial"/>
          <w:b/>
        </w:rPr>
        <w:tab/>
      </w:r>
      <w:r w:rsidRPr="005855D4">
        <w:rPr>
          <w:rFonts w:ascii="Arial" w:hAnsi="Arial" w:cs="Arial"/>
          <w:b/>
        </w:rPr>
        <w:t>PASAL DEMI PASAL</w:t>
      </w:r>
    </w:p>
    <w:p w:rsidR="00C07BF9" w:rsidRPr="005855D4" w:rsidRDefault="00C07BF9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Pasal I</w:t>
      </w:r>
    </w:p>
    <w:p w:rsidR="005855D4" w:rsidRDefault="005855D4" w:rsidP="00C07B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Pasal 1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Cukup jelas.</w:t>
      </w:r>
      <w:proofErr w:type="gramEnd"/>
    </w:p>
    <w:p w:rsidR="005855D4" w:rsidRDefault="005855D4" w:rsidP="00C07BF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Pasal 6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Ayat (1)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Penetapan Badan Usaha atau Bentuk Usaha Tetap sebagai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 xml:space="preserve">Kontraktor oleh Menteri didasarkan hasil evaluasi </w:t>
      </w:r>
      <w:proofErr w:type="gramStart"/>
      <w:r w:rsidRPr="005855D4">
        <w:rPr>
          <w:rFonts w:ascii="Arial" w:hAnsi="Arial" w:cs="Arial"/>
        </w:rPr>
        <w:t>tim</w:t>
      </w:r>
      <w:proofErr w:type="gramEnd"/>
      <w:r w:rsidRPr="005855D4">
        <w:rPr>
          <w:rFonts w:ascii="Arial" w:hAnsi="Arial" w:cs="Arial"/>
        </w:rPr>
        <w:t xml:space="preserve"> yang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dibentuk oleh Menteri atas pelaksanaan lelang wilayah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kerja atau penawaran langsung wilayah kerja.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Ayat (2)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Badan Pelaksana dapat memberikan masukan kepada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Menteri mengenai kinerja Badan Usaha atau Bentuk Usaha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Tetap yang bersangkutan berdasarkan catatan operasi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yang pernah dilakukan.</w:t>
      </w:r>
      <w:proofErr w:type="gramEnd"/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Ayat (3)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800" w:hanging="36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Cukup jelas.</w:t>
      </w:r>
      <w:proofErr w:type="gramEnd"/>
    </w:p>
    <w:p w:rsidR="005855D4" w:rsidRDefault="005855D4" w:rsidP="00C07BF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Pasal 46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Ayat (1)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Yang dimaksud dengan “kebutuhan Minyak Bumi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dan/atau Gas Bumi dalam negeri” adalah keseluruhan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kebutuhan nasional atas Minyak Bumi dan/atau Gas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Bumi.</w:t>
      </w:r>
      <w:proofErr w:type="gramEnd"/>
      <w:r w:rsidRPr="005855D4">
        <w:rPr>
          <w:rFonts w:ascii="Arial" w:hAnsi="Arial" w:cs="Arial"/>
        </w:rPr>
        <w:t xml:space="preserve"> Ketentuan mengenai kewajiban penyerahan Gas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Bumi ini berlaku untuk Kontrak Kerja Sama yang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mempunyai tanggal berlaku (</w:t>
      </w:r>
      <w:r w:rsidRPr="005855D4">
        <w:rPr>
          <w:rFonts w:ascii="Arial" w:hAnsi="Arial" w:cs="Arial"/>
          <w:i/>
          <w:iCs/>
        </w:rPr>
        <w:t>effectivedate</w:t>
      </w:r>
      <w:r w:rsidRPr="005855D4">
        <w:rPr>
          <w:rFonts w:ascii="Arial" w:hAnsi="Arial" w:cs="Arial"/>
        </w:rPr>
        <w:t>) setelah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berlakunya Undang-Undang Nomor 22 Tahun 2001 tentang</w:t>
      </w:r>
      <w:r w:rsidR="00C07BF9" w:rsidRPr="005855D4">
        <w:rPr>
          <w:rFonts w:ascii="Arial" w:hAnsi="Arial" w:cs="Arial"/>
        </w:rPr>
        <w:t xml:space="preserve"> </w:t>
      </w:r>
      <w:r w:rsidRPr="005855D4">
        <w:rPr>
          <w:rFonts w:ascii="Arial" w:hAnsi="Arial" w:cs="Arial"/>
        </w:rPr>
        <w:t>Minyak dan Gas Bumi.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lastRenderedPageBreak/>
        <w:t>Ayat (2)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Dihapus.</w:t>
      </w:r>
      <w:proofErr w:type="gramEnd"/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Ayat (3)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Cukup jelas.</w:t>
      </w:r>
      <w:proofErr w:type="gramEnd"/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Ayat (4)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Dihapus.</w:t>
      </w:r>
      <w:proofErr w:type="gramEnd"/>
    </w:p>
    <w:p w:rsidR="00C07BF9" w:rsidRPr="005855D4" w:rsidRDefault="00C07BF9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Pasal 48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Cukup jelas.</w:t>
      </w:r>
      <w:proofErr w:type="gramEnd"/>
    </w:p>
    <w:p w:rsidR="00C07BF9" w:rsidRPr="005855D4" w:rsidRDefault="00C07BF9" w:rsidP="004A7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</w:rPr>
      </w:pPr>
      <w:r w:rsidRPr="005855D4">
        <w:rPr>
          <w:rFonts w:ascii="Arial" w:hAnsi="Arial" w:cs="Arial"/>
        </w:rPr>
        <w:t>Pasal II</w:t>
      </w:r>
    </w:p>
    <w:p w:rsidR="00B95C93" w:rsidRPr="005855D4" w:rsidRDefault="00B95C93" w:rsidP="00C07BF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proofErr w:type="gramStart"/>
      <w:r w:rsidRPr="005855D4">
        <w:rPr>
          <w:rFonts w:ascii="Arial" w:hAnsi="Arial" w:cs="Arial"/>
        </w:rPr>
        <w:t>Cukup jelas.</w:t>
      </w:r>
      <w:proofErr w:type="gramEnd"/>
    </w:p>
    <w:p w:rsidR="00C07BF9" w:rsidRPr="005855D4" w:rsidRDefault="00C07BF9" w:rsidP="004A7DCE">
      <w:pPr>
        <w:jc w:val="both"/>
        <w:rPr>
          <w:rFonts w:ascii="Arial" w:hAnsi="Arial" w:cs="Arial"/>
        </w:rPr>
      </w:pPr>
    </w:p>
    <w:p w:rsidR="009A2F6F" w:rsidRPr="005855D4" w:rsidRDefault="00B95C93" w:rsidP="00C07BF9">
      <w:pPr>
        <w:jc w:val="center"/>
        <w:rPr>
          <w:rFonts w:ascii="Arial" w:hAnsi="Arial" w:cs="Arial"/>
        </w:rPr>
      </w:pPr>
      <w:r w:rsidRPr="005855D4">
        <w:rPr>
          <w:rFonts w:ascii="Arial" w:hAnsi="Arial" w:cs="Arial"/>
        </w:rPr>
        <w:t>TAMBAHAN LEMBARAN NEGARA REPUBLIK INDONESIA NOMOR 5047</w:t>
      </w:r>
    </w:p>
    <w:sectPr w:rsidR="009A2F6F" w:rsidRPr="005855D4" w:rsidSect="005855D4">
      <w:pgSz w:w="12240" w:h="15840"/>
      <w:pgMar w:top="1296" w:right="1296" w:bottom="1296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7BEA"/>
    <w:multiLevelType w:val="hybridMultilevel"/>
    <w:tmpl w:val="9DC2B50E"/>
    <w:lvl w:ilvl="0" w:tplc="3C6A1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B95C93"/>
    <w:rsid w:val="0005273B"/>
    <w:rsid w:val="00462B63"/>
    <w:rsid w:val="00467CB6"/>
    <w:rsid w:val="004A7DCE"/>
    <w:rsid w:val="005855D4"/>
    <w:rsid w:val="00745529"/>
    <w:rsid w:val="007B7F35"/>
    <w:rsid w:val="00B95C93"/>
    <w:rsid w:val="00C07BF9"/>
    <w:rsid w:val="00C33AAE"/>
    <w:rsid w:val="00CB5D49"/>
    <w:rsid w:val="00D177FE"/>
    <w:rsid w:val="00F0458B"/>
    <w:rsid w:val="00F55201"/>
    <w:rsid w:val="00FC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7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4BFC-952B-41C9-8979-2B4574E5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DKIP PAPUA</dc:creator>
  <cp:lastModifiedBy>DKIP PAPUA</cp:lastModifiedBy>
  <cp:revision>7</cp:revision>
  <dcterms:created xsi:type="dcterms:W3CDTF">2009-10-19T10:52:00Z</dcterms:created>
  <dcterms:modified xsi:type="dcterms:W3CDTF">2009-11-26T05:18:00Z</dcterms:modified>
</cp:coreProperties>
</file>